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4B" w:rsidRDefault="00350644">
      <w:r w:rsidRPr="00350644">
        <w:drawing>
          <wp:inline distT="0" distB="0" distL="0" distR="0">
            <wp:extent cx="6120130" cy="3891671"/>
            <wp:effectExtent l="19050" t="0" r="1397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50644" w:rsidRDefault="00350644"/>
    <w:p w:rsidR="00350644" w:rsidRDefault="00350644"/>
    <w:p w:rsidR="00350644" w:rsidRDefault="00350644">
      <w:r w:rsidRPr="00350644">
        <w:drawing>
          <wp:inline distT="0" distB="0" distL="0" distR="0">
            <wp:extent cx="6120130" cy="2912156"/>
            <wp:effectExtent l="19050" t="0" r="13970" b="2494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350644" w:rsidSect="00350644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50644"/>
    <w:rsid w:val="00350644"/>
    <w:rsid w:val="004A2A38"/>
    <w:rsid w:val="0096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Universit&#224;\Chimica%20analitica\ph%20glicin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Universit&#224;\Chimica%20analitica\ph%20glicin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autoTitleDeleted val="1"/>
    <c:plotArea>
      <c:layout>
        <c:manualLayout>
          <c:layoutTarget val="inner"/>
          <c:xMode val="edge"/>
          <c:yMode val="edge"/>
          <c:x val="8.66042498112395E-2"/>
          <c:y val="0.11109586549206101"/>
          <c:w val="0.82836831697407753"/>
          <c:h val="0.80314607208752375"/>
        </c:manualLayout>
      </c:layout>
      <c:scatterChart>
        <c:scatterStyle val="smoothMarker"/>
        <c:ser>
          <c:idx val="0"/>
          <c:order val="0"/>
          <c:tx>
            <c:strRef>
              <c:f>Foglio1!$B$1</c:f>
              <c:strCache>
                <c:ptCount val="1"/>
                <c:pt idx="0">
                  <c:v>pH</c:v>
                </c:pt>
              </c:strCache>
            </c:strRef>
          </c:tx>
          <c:xVal>
            <c:numRef>
              <c:f>Foglio1!$A$2:$A$72</c:f>
              <c:numCache>
                <c:formatCode>General</c:formatCode>
                <c:ptCount val="71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  <c:pt idx="37">
                  <c:v>18.5</c:v>
                </c:pt>
                <c:pt idx="38">
                  <c:v>19</c:v>
                </c:pt>
                <c:pt idx="39">
                  <c:v>19.5</c:v>
                </c:pt>
                <c:pt idx="40">
                  <c:v>20</c:v>
                </c:pt>
                <c:pt idx="41">
                  <c:v>20.5</c:v>
                </c:pt>
                <c:pt idx="42">
                  <c:v>21</c:v>
                </c:pt>
                <c:pt idx="43">
                  <c:v>21.5</c:v>
                </c:pt>
                <c:pt idx="44">
                  <c:v>22</c:v>
                </c:pt>
                <c:pt idx="45">
                  <c:v>22.5</c:v>
                </c:pt>
                <c:pt idx="46">
                  <c:v>23</c:v>
                </c:pt>
                <c:pt idx="47">
                  <c:v>23.5</c:v>
                </c:pt>
                <c:pt idx="48">
                  <c:v>24</c:v>
                </c:pt>
                <c:pt idx="49">
                  <c:v>24.5</c:v>
                </c:pt>
                <c:pt idx="50">
                  <c:v>25</c:v>
                </c:pt>
                <c:pt idx="51">
                  <c:v>25.5</c:v>
                </c:pt>
                <c:pt idx="52">
                  <c:v>26</c:v>
                </c:pt>
                <c:pt idx="53">
                  <c:v>26.5</c:v>
                </c:pt>
                <c:pt idx="54">
                  <c:v>27</c:v>
                </c:pt>
                <c:pt idx="55">
                  <c:v>27.5</c:v>
                </c:pt>
                <c:pt idx="56">
                  <c:v>28</c:v>
                </c:pt>
                <c:pt idx="57">
                  <c:v>28.5</c:v>
                </c:pt>
                <c:pt idx="58">
                  <c:v>29</c:v>
                </c:pt>
                <c:pt idx="59">
                  <c:v>29.5</c:v>
                </c:pt>
                <c:pt idx="60">
                  <c:v>30</c:v>
                </c:pt>
                <c:pt idx="61">
                  <c:v>30.5</c:v>
                </c:pt>
                <c:pt idx="62">
                  <c:v>31</c:v>
                </c:pt>
                <c:pt idx="63">
                  <c:v>31.5</c:v>
                </c:pt>
                <c:pt idx="64">
                  <c:v>32</c:v>
                </c:pt>
                <c:pt idx="65">
                  <c:v>32.5</c:v>
                </c:pt>
                <c:pt idx="66">
                  <c:v>33</c:v>
                </c:pt>
                <c:pt idx="67">
                  <c:v>33.5</c:v>
                </c:pt>
                <c:pt idx="68">
                  <c:v>34</c:v>
                </c:pt>
                <c:pt idx="69">
                  <c:v>34.5</c:v>
                </c:pt>
                <c:pt idx="70">
                  <c:v>35</c:v>
                </c:pt>
              </c:numCache>
            </c:numRef>
          </c:xVal>
          <c:yVal>
            <c:numRef>
              <c:f>Foglio1!$B$2:$B$72</c:f>
              <c:numCache>
                <c:formatCode>General</c:formatCode>
                <c:ptCount val="71"/>
                <c:pt idx="0">
                  <c:v>1.75</c:v>
                </c:pt>
                <c:pt idx="1">
                  <c:v>1.79</c:v>
                </c:pt>
                <c:pt idx="2">
                  <c:v>1.84</c:v>
                </c:pt>
                <c:pt idx="3">
                  <c:v>1.8900000000000001</c:v>
                </c:pt>
                <c:pt idx="4">
                  <c:v>1.9300000000000002</c:v>
                </c:pt>
                <c:pt idx="5">
                  <c:v>1.9800000000000002</c:v>
                </c:pt>
                <c:pt idx="6">
                  <c:v>2.04</c:v>
                </c:pt>
                <c:pt idx="7">
                  <c:v>2.06</c:v>
                </c:pt>
                <c:pt idx="8">
                  <c:v>2.12</c:v>
                </c:pt>
                <c:pt idx="9">
                  <c:v>2.16</c:v>
                </c:pt>
                <c:pt idx="10">
                  <c:v>2.21</c:v>
                </c:pt>
                <c:pt idx="11">
                  <c:v>2.27</c:v>
                </c:pt>
                <c:pt idx="12">
                  <c:v>2.3299999999999996</c:v>
                </c:pt>
                <c:pt idx="13">
                  <c:v>2.3899999999999997</c:v>
                </c:pt>
                <c:pt idx="14">
                  <c:v>2.4499999999999997</c:v>
                </c:pt>
                <c:pt idx="15">
                  <c:v>2.5099999999999998</c:v>
                </c:pt>
                <c:pt idx="16">
                  <c:v>2.56</c:v>
                </c:pt>
                <c:pt idx="17">
                  <c:v>2.62</c:v>
                </c:pt>
                <c:pt idx="18">
                  <c:v>2.69</c:v>
                </c:pt>
                <c:pt idx="19">
                  <c:v>2.77</c:v>
                </c:pt>
                <c:pt idx="20">
                  <c:v>2.8499999999999996</c:v>
                </c:pt>
                <c:pt idx="21">
                  <c:v>2.9499999999999997</c:v>
                </c:pt>
                <c:pt idx="22">
                  <c:v>3.05</c:v>
                </c:pt>
                <c:pt idx="23">
                  <c:v>3.19</c:v>
                </c:pt>
                <c:pt idx="24">
                  <c:v>3.38</c:v>
                </c:pt>
                <c:pt idx="25">
                  <c:v>3.69</c:v>
                </c:pt>
                <c:pt idx="26">
                  <c:v>4.3099999999999996</c:v>
                </c:pt>
                <c:pt idx="27">
                  <c:v>7.8199999999999994</c:v>
                </c:pt>
                <c:pt idx="28">
                  <c:v>8.44</c:v>
                </c:pt>
                <c:pt idx="29">
                  <c:v>8.7100000000000009</c:v>
                </c:pt>
                <c:pt idx="30">
                  <c:v>8.9</c:v>
                </c:pt>
                <c:pt idx="31">
                  <c:v>9.0500000000000007</c:v>
                </c:pt>
                <c:pt idx="32">
                  <c:v>9.15</c:v>
                </c:pt>
                <c:pt idx="33">
                  <c:v>9.2399999999999984</c:v>
                </c:pt>
                <c:pt idx="34">
                  <c:v>9.34</c:v>
                </c:pt>
                <c:pt idx="35">
                  <c:v>9.41</c:v>
                </c:pt>
                <c:pt idx="36">
                  <c:v>9.49</c:v>
                </c:pt>
                <c:pt idx="37">
                  <c:v>9.56</c:v>
                </c:pt>
                <c:pt idx="38">
                  <c:v>9.629999999999999</c:v>
                </c:pt>
                <c:pt idx="39">
                  <c:v>9.69</c:v>
                </c:pt>
                <c:pt idx="40">
                  <c:v>9.76</c:v>
                </c:pt>
                <c:pt idx="41">
                  <c:v>9.82</c:v>
                </c:pt>
                <c:pt idx="42">
                  <c:v>9.8800000000000008</c:v>
                </c:pt>
                <c:pt idx="43">
                  <c:v>9.9500000000000011</c:v>
                </c:pt>
                <c:pt idx="44">
                  <c:v>10.01</c:v>
                </c:pt>
                <c:pt idx="45">
                  <c:v>10.08</c:v>
                </c:pt>
                <c:pt idx="46">
                  <c:v>10.15</c:v>
                </c:pt>
                <c:pt idx="47">
                  <c:v>10.229999999999999</c:v>
                </c:pt>
                <c:pt idx="48">
                  <c:v>10.31</c:v>
                </c:pt>
                <c:pt idx="49">
                  <c:v>10.4</c:v>
                </c:pt>
                <c:pt idx="50">
                  <c:v>10.5</c:v>
                </c:pt>
                <c:pt idx="51">
                  <c:v>10.61</c:v>
                </c:pt>
                <c:pt idx="52">
                  <c:v>10.76</c:v>
                </c:pt>
                <c:pt idx="53">
                  <c:v>10.91</c:v>
                </c:pt>
                <c:pt idx="54">
                  <c:v>11.12</c:v>
                </c:pt>
                <c:pt idx="55">
                  <c:v>11.3</c:v>
                </c:pt>
                <c:pt idx="56">
                  <c:v>11.46</c:v>
                </c:pt>
                <c:pt idx="57">
                  <c:v>11.6</c:v>
                </c:pt>
                <c:pt idx="58">
                  <c:v>11.7</c:v>
                </c:pt>
                <c:pt idx="59">
                  <c:v>11.79</c:v>
                </c:pt>
                <c:pt idx="60">
                  <c:v>11.850000000000001</c:v>
                </c:pt>
                <c:pt idx="61">
                  <c:v>11.91</c:v>
                </c:pt>
                <c:pt idx="62">
                  <c:v>11.97</c:v>
                </c:pt>
                <c:pt idx="63">
                  <c:v>12</c:v>
                </c:pt>
                <c:pt idx="64">
                  <c:v>12.04</c:v>
                </c:pt>
                <c:pt idx="65">
                  <c:v>12.08</c:v>
                </c:pt>
                <c:pt idx="66">
                  <c:v>12.1</c:v>
                </c:pt>
                <c:pt idx="67">
                  <c:v>12.129999999999999</c:v>
                </c:pt>
                <c:pt idx="68">
                  <c:v>12.16</c:v>
                </c:pt>
                <c:pt idx="69">
                  <c:v>12.19</c:v>
                </c:pt>
                <c:pt idx="70">
                  <c:v>12.209999999999999</c:v>
                </c:pt>
              </c:numCache>
            </c:numRef>
          </c:yVal>
          <c:smooth val="1"/>
        </c:ser>
        <c:axId val="113199744"/>
        <c:axId val="88302336"/>
      </c:scatterChart>
      <c:valAx>
        <c:axId val="113199744"/>
        <c:scaling>
          <c:orientation val="minMax"/>
          <c:max val="36"/>
          <c:min val="0"/>
        </c:scaling>
        <c:axPos val="b"/>
        <c:numFmt formatCode="General" sourceLinked="1"/>
        <c:tickLblPos val="nextTo"/>
        <c:crossAx val="88302336"/>
        <c:crosses val="autoZero"/>
        <c:crossBetween val="midCat"/>
        <c:majorUnit val="2"/>
      </c:valAx>
      <c:valAx>
        <c:axId val="88302336"/>
        <c:scaling>
          <c:orientation val="minMax"/>
          <c:max val="14"/>
          <c:min val="0"/>
        </c:scaling>
        <c:axPos val="l"/>
        <c:majorGridlines/>
        <c:numFmt formatCode="General" sourceLinked="1"/>
        <c:tickLblPos val="nextTo"/>
        <c:crossAx val="113199744"/>
        <c:crosses val="autoZero"/>
        <c:crossBetween val="midCat"/>
        <c:majorUnit val="1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3.4338948137811888E-2"/>
          <c:y val="2.3791499746742162E-2"/>
          <c:w val="0.8264838034486196"/>
          <c:h val="0.830084265782566"/>
        </c:manualLayout>
      </c:layout>
      <c:scatterChart>
        <c:scatterStyle val="smoothMarker"/>
        <c:ser>
          <c:idx val="0"/>
          <c:order val="0"/>
          <c:dPt>
            <c:idx val="26"/>
            <c:marker>
              <c:spPr>
                <a:solidFill>
                  <a:srgbClr val="FFFF00"/>
                </a:solidFill>
              </c:spPr>
            </c:marker>
          </c:dPt>
          <c:dLbls>
            <c:dLbl>
              <c:idx val="26"/>
              <c:showVal val="1"/>
            </c:dLbl>
            <c:delete val="1"/>
          </c:dLbls>
          <c:xVal>
            <c:numRef>
              <c:f>Foglio1!$A$2:$A$72</c:f>
              <c:numCache>
                <c:formatCode>General</c:formatCode>
                <c:ptCount val="71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  <c:pt idx="37">
                  <c:v>18.5</c:v>
                </c:pt>
                <c:pt idx="38">
                  <c:v>19</c:v>
                </c:pt>
                <c:pt idx="39">
                  <c:v>19.5</c:v>
                </c:pt>
                <c:pt idx="40">
                  <c:v>20</c:v>
                </c:pt>
                <c:pt idx="41">
                  <c:v>20.5</c:v>
                </c:pt>
                <c:pt idx="42">
                  <c:v>21</c:v>
                </c:pt>
                <c:pt idx="43">
                  <c:v>21.5</c:v>
                </c:pt>
                <c:pt idx="44">
                  <c:v>22</c:v>
                </c:pt>
                <c:pt idx="45">
                  <c:v>22.5</c:v>
                </c:pt>
                <c:pt idx="46">
                  <c:v>23</c:v>
                </c:pt>
                <c:pt idx="47">
                  <c:v>23.5</c:v>
                </c:pt>
                <c:pt idx="48">
                  <c:v>24</c:v>
                </c:pt>
                <c:pt idx="49">
                  <c:v>24.5</c:v>
                </c:pt>
                <c:pt idx="50">
                  <c:v>25</c:v>
                </c:pt>
                <c:pt idx="51">
                  <c:v>25.5</c:v>
                </c:pt>
                <c:pt idx="52">
                  <c:v>26</c:v>
                </c:pt>
                <c:pt idx="53">
                  <c:v>26.5</c:v>
                </c:pt>
                <c:pt idx="54">
                  <c:v>27</c:v>
                </c:pt>
                <c:pt idx="55">
                  <c:v>27.5</c:v>
                </c:pt>
                <c:pt idx="56">
                  <c:v>28</c:v>
                </c:pt>
                <c:pt idx="57">
                  <c:v>28.5</c:v>
                </c:pt>
                <c:pt idx="58">
                  <c:v>29</c:v>
                </c:pt>
                <c:pt idx="59">
                  <c:v>29.5</c:v>
                </c:pt>
                <c:pt idx="60">
                  <c:v>30</c:v>
                </c:pt>
                <c:pt idx="61">
                  <c:v>30.5</c:v>
                </c:pt>
                <c:pt idx="62">
                  <c:v>31</c:v>
                </c:pt>
                <c:pt idx="63">
                  <c:v>31.5</c:v>
                </c:pt>
                <c:pt idx="64">
                  <c:v>32</c:v>
                </c:pt>
                <c:pt idx="65">
                  <c:v>32.5</c:v>
                </c:pt>
                <c:pt idx="66">
                  <c:v>33</c:v>
                </c:pt>
                <c:pt idx="67">
                  <c:v>33.5</c:v>
                </c:pt>
                <c:pt idx="68">
                  <c:v>34</c:v>
                </c:pt>
                <c:pt idx="69">
                  <c:v>34.5</c:v>
                </c:pt>
                <c:pt idx="70">
                  <c:v>35</c:v>
                </c:pt>
              </c:numCache>
            </c:numRef>
          </c:xVal>
          <c:yVal>
            <c:numRef>
              <c:f>Foglio1!$D$2:$D$72</c:f>
              <c:numCache>
                <c:formatCode>General</c:formatCode>
                <c:ptCount val="71"/>
                <c:pt idx="0">
                  <c:v>8.0000000000000085E-2</c:v>
                </c:pt>
                <c:pt idx="1">
                  <c:v>0.10000000000000009</c:v>
                </c:pt>
                <c:pt idx="2">
                  <c:v>9.9999999999999672E-2</c:v>
                </c:pt>
                <c:pt idx="3">
                  <c:v>8.0000000000000085E-2</c:v>
                </c:pt>
                <c:pt idx="4">
                  <c:v>0.10000000000000009</c:v>
                </c:pt>
                <c:pt idx="5">
                  <c:v>0.12000000000000012</c:v>
                </c:pt>
                <c:pt idx="6">
                  <c:v>4.0000000000000042E-2</c:v>
                </c:pt>
                <c:pt idx="7">
                  <c:v>0.12000000000000012</c:v>
                </c:pt>
                <c:pt idx="8">
                  <c:v>8.0000000000000085E-2</c:v>
                </c:pt>
                <c:pt idx="9">
                  <c:v>9.9999999999999672E-2</c:v>
                </c:pt>
                <c:pt idx="10">
                  <c:v>0.12000000000000012</c:v>
                </c:pt>
                <c:pt idx="11">
                  <c:v>0.12000000000000012</c:v>
                </c:pt>
                <c:pt idx="12">
                  <c:v>0.12000000000000012</c:v>
                </c:pt>
                <c:pt idx="13">
                  <c:v>0.12000000000000012</c:v>
                </c:pt>
                <c:pt idx="14">
                  <c:v>0.1199999999999992</c:v>
                </c:pt>
                <c:pt idx="15">
                  <c:v>0.10000000000000053</c:v>
                </c:pt>
                <c:pt idx="16">
                  <c:v>0.12000000000000012</c:v>
                </c:pt>
                <c:pt idx="17">
                  <c:v>0.13999999999999974</c:v>
                </c:pt>
                <c:pt idx="18">
                  <c:v>0.16000000000000014</c:v>
                </c:pt>
                <c:pt idx="19">
                  <c:v>0.16000000000000014</c:v>
                </c:pt>
                <c:pt idx="20">
                  <c:v>0.20000000000000021</c:v>
                </c:pt>
                <c:pt idx="21">
                  <c:v>0.19999999999999932</c:v>
                </c:pt>
                <c:pt idx="22">
                  <c:v>0.2800000000000003</c:v>
                </c:pt>
                <c:pt idx="23">
                  <c:v>0.38</c:v>
                </c:pt>
                <c:pt idx="24">
                  <c:v>0.62000000000000022</c:v>
                </c:pt>
                <c:pt idx="25">
                  <c:v>1.2399999999999989</c:v>
                </c:pt>
                <c:pt idx="26">
                  <c:v>7.0200000000000005</c:v>
                </c:pt>
                <c:pt idx="27">
                  <c:v>1.239999999999998</c:v>
                </c:pt>
                <c:pt idx="28">
                  <c:v>0.5400000000000027</c:v>
                </c:pt>
                <c:pt idx="29">
                  <c:v>0.37999999999999912</c:v>
                </c:pt>
                <c:pt idx="30">
                  <c:v>0.30000000000000077</c:v>
                </c:pt>
                <c:pt idx="31">
                  <c:v>0.19999999999999932</c:v>
                </c:pt>
                <c:pt idx="32">
                  <c:v>0.17999999999999977</c:v>
                </c:pt>
                <c:pt idx="33">
                  <c:v>0.19999999999999932</c:v>
                </c:pt>
                <c:pt idx="34">
                  <c:v>0.1400000000000006</c:v>
                </c:pt>
                <c:pt idx="35">
                  <c:v>0.16000000000000014</c:v>
                </c:pt>
                <c:pt idx="36">
                  <c:v>0.1400000000000006</c:v>
                </c:pt>
                <c:pt idx="37">
                  <c:v>0.1400000000000006</c:v>
                </c:pt>
                <c:pt idx="38">
                  <c:v>0.11999999999999743</c:v>
                </c:pt>
                <c:pt idx="39">
                  <c:v>0.1400000000000006</c:v>
                </c:pt>
                <c:pt idx="40">
                  <c:v>0.12000000000000099</c:v>
                </c:pt>
                <c:pt idx="41">
                  <c:v>0.12000000000000099</c:v>
                </c:pt>
                <c:pt idx="42">
                  <c:v>0.13999999999999707</c:v>
                </c:pt>
                <c:pt idx="43">
                  <c:v>0.12000000000000099</c:v>
                </c:pt>
                <c:pt idx="44">
                  <c:v>0.1400000000000006</c:v>
                </c:pt>
                <c:pt idx="45">
                  <c:v>0.1400000000000006</c:v>
                </c:pt>
                <c:pt idx="46">
                  <c:v>0.16000000000000014</c:v>
                </c:pt>
                <c:pt idx="47">
                  <c:v>0.16000000000000014</c:v>
                </c:pt>
                <c:pt idx="48">
                  <c:v>0.17999999999999977</c:v>
                </c:pt>
                <c:pt idx="49">
                  <c:v>0.19999999999999932</c:v>
                </c:pt>
                <c:pt idx="50">
                  <c:v>0.21999999999999892</c:v>
                </c:pt>
                <c:pt idx="51">
                  <c:v>0.30000000000000077</c:v>
                </c:pt>
                <c:pt idx="52">
                  <c:v>0.30000000000000077</c:v>
                </c:pt>
                <c:pt idx="53">
                  <c:v>0.41999999999999826</c:v>
                </c:pt>
                <c:pt idx="54">
                  <c:v>0.36000000000000298</c:v>
                </c:pt>
                <c:pt idx="55">
                  <c:v>0.32000000000000034</c:v>
                </c:pt>
                <c:pt idx="56">
                  <c:v>0.27999999999999764</c:v>
                </c:pt>
                <c:pt idx="57">
                  <c:v>0.19999999999999932</c:v>
                </c:pt>
                <c:pt idx="58">
                  <c:v>0.17999999999999977</c:v>
                </c:pt>
                <c:pt idx="59">
                  <c:v>0.12000000000000099</c:v>
                </c:pt>
                <c:pt idx="60">
                  <c:v>0.12000000000000099</c:v>
                </c:pt>
                <c:pt idx="61">
                  <c:v>0.12000000000000099</c:v>
                </c:pt>
                <c:pt idx="62">
                  <c:v>5.9999999999998735E-2</c:v>
                </c:pt>
                <c:pt idx="63">
                  <c:v>7.9999999999998322E-2</c:v>
                </c:pt>
                <c:pt idx="64">
                  <c:v>8.0000000000001834E-2</c:v>
                </c:pt>
                <c:pt idx="65">
                  <c:v>3.9999999999999154E-2</c:v>
                </c:pt>
                <c:pt idx="66">
                  <c:v>6.0000000000002281E-2</c:v>
                </c:pt>
                <c:pt idx="67">
                  <c:v>5.9999999999998735E-2</c:v>
                </c:pt>
                <c:pt idx="68">
                  <c:v>5.9999999999998735E-2</c:v>
                </c:pt>
                <c:pt idx="69">
                  <c:v>4.0000000000002707E-2</c:v>
                </c:pt>
                <c:pt idx="70">
                  <c:v>4.0000000000002707E-2</c:v>
                </c:pt>
              </c:numCache>
            </c:numRef>
          </c:yVal>
          <c:smooth val="1"/>
        </c:ser>
        <c:axId val="96006528"/>
        <c:axId val="96008064"/>
      </c:scatterChart>
      <c:valAx>
        <c:axId val="96006528"/>
        <c:scaling>
          <c:orientation val="minMax"/>
          <c:max val="36"/>
          <c:min val="0"/>
        </c:scaling>
        <c:axPos val="b"/>
        <c:numFmt formatCode="General" sourceLinked="1"/>
        <c:tickLblPos val="nextTo"/>
        <c:crossAx val="96008064"/>
        <c:crosses val="autoZero"/>
        <c:crossBetween val="midCat"/>
        <c:majorUnit val="2"/>
      </c:valAx>
      <c:valAx>
        <c:axId val="96008064"/>
        <c:scaling>
          <c:orientation val="minMax"/>
        </c:scaling>
        <c:axPos val="l"/>
        <c:majorGridlines/>
        <c:numFmt formatCode="General" sourceLinked="1"/>
        <c:tickLblPos val="nextTo"/>
        <c:crossAx val="96006528"/>
        <c:crossesAt val="0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2012-11-29T18:14:00Z</cp:lastPrinted>
  <dcterms:created xsi:type="dcterms:W3CDTF">2012-11-29T18:08:00Z</dcterms:created>
  <dcterms:modified xsi:type="dcterms:W3CDTF">2012-11-29T18:20:00Z</dcterms:modified>
</cp:coreProperties>
</file>